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pPr>
        <w:spacing w:line="560" w:lineRule="exact"/>
        <w:ind w:firstLine="160" w:firstLineChars="50"/>
        <w:jc w:val="center"/>
        <w:rPr>
          <w:rFonts w:hint="default" w:ascii="仿宋_GB2312" w:hAnsi="仿宋" w:eastAsia="仿宋_GB2312" w:cs="楷体_GB2312"/>
          <w:bCs/>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29</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新形势下担保行业可持续发展</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6</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15日-7月18日</w:t>
      </w:r>
      <w:r>
        <w:rPr>
          <w:rFonts w:hint="eastAsia" w:ascii="仿宋_GB2312" w:hAnsi="仿宋" w:eastAsia="仿宋_GB2312" w:cs="楷体_GB2312"/>
          <w:bCs/>
          <w:sz w:val="32"/>
          <w:szCs w:val="32"/>
          <w:lang w:eastAsia="zh-CN"/>
        </w:rPr>
        <w:t>）</w:t>
      </w:r>
    </w:p>
    <w:p>
      <w:pPr>
        <w:spacing w:line="560" w:lineRule="exact"/>
        <w:ind w:firstLine="160" w:firstLineChars="50"/>
        <w:jc w:val="center"/>
        <w:rPr>
          <w:rFonts w:ascii="仿宋" w:hAnsi="仿宋" w:eastAsia="仿宋" w:cs="楷体_GB2312"/>
          <w:bCs/>
          <w:sz w:val="32"/>
          <w:szCs w:val="32"/>
        </w:rPr>
      </w:pPr>
    </w:p>
    <w:p>
      <w:pPr>
        <w:pBdr>
          <w:top w:val="none" w:color="auto" w:sz="0" w:space="1"/>
          <w:left w:val="none" w:color="auto" w:sz="0" w:space="4"/>
          <w:bottom w:val="single" w:color="FF0000" w:sz="18" w:space="1"/>
          <w:right w:val="none" w:color="auto" w:sz="0" w:space="4"/>
        </w:pBdr>
        <w:spacing w:line="560" w:lineRule="exact"/>
        <w:rPr>
          <w:rFonts w:hint="eastAsia" w:ascii="黑体" w:hAnsi="黑体" w:eastAsia="黑体"/>
          <w:b w:val="0"/>
          <w:bCs w:val="0"/>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7</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19</w:t>
      </w:r>
      <w:r>
        <w:rPr>
          <w:rFonts w:hint="eastAsia" w:ascii="仿宋_GB2312" w:hAnsi="仿宋" w:eastAsia="仿宋_GB2312" w:cs="楷体_GB2312"/>
          <w:bCs/>
          <w:sz w:val="32"/>
          <w:szCs w:val="32"/>
        </w:rPr>
        <w:t>日</w:t>
      </w:r>
      <w:bookmarkEnd w:id="0"/>
    </w:p>
    <w:p>
      <w:pPr>
        <w:spacing w:line="560" w:lineRule="exact"/>
        <w:rPr>
          <w:rFonts w:hint="eastAsia" w:ascii="黑体" w:hAnsi="黑体" w:eastAsia="黑体"/>
          <w:b w:val="0"/>
          <w:bCs w:val="0"/>
          <w:sz w:val="32"/>
          <w:szCs w:val="32"/>
        </w:rPr>
      </w:pPr>
    </w:p>
    <w:p>
      <w:pPr>
        <w:spacing w:line="560" w:lineRule="exact"/>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新形势下担保行业可持续发展</w:t>
      </w:r>
      <w:r>
        <w:rPr>
          <w:rFonts w:hint="eastAsia" w:ascii="黑体" w:hAnsi="黑体" w:eastAsia="黑体"/>
          <w:b w:val="0"/>
          <w:bCs w:val="0"/>
          <w:sz w:val="32"/>
          <w:szCs w:val="32"/>
        </w:rPr>
        <w:t>】</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第二十届中央委员会第三次全体会议公报（金融相关节选）</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中金：联合解读二十届三中全会公报</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金融时报：在中国特色金融发展道路上构建融资担保新格局</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稳健的融资担保机构助力金融服务实体经济（</w:t>
      </w:r>
      <w:r>
        <w:rPr>
          <w:rFonts w:hint="eastAsia" w:ascii="仿宋_GB2312" w:hAnsi="仿宋_GB2312" w:eastAsia="仿宋_GB2312" w:cs="仿宋_GB2312"/>
          <w:b/>
          <w:bCs/>
          <w:sz w:val="32"/>
          <w:szCs w:val="32"/>
          <w:lang w:val="en-US" w:eastAsia="zh-CN"/>
        </w:rPr>
        <w:t>节选</w:t>
      </w:r>
      <w:r>
        <w:rPr>
          <w:rFonts w:hint="eastAsia" w:ascii="仿宋_GB2312" w:hAnsi="仿宋_GB2312" w:eastAsia="仿宋_GB2312" w:cs="仿宋_GB2312"/>
          <w:b/>
          <w:bCs/>
          <w:sz w:val="32"/>
          <w:szCs w:val="32"/>
          <w:lang w:eastAsia="zh-CN"/>
        </w:rPr>
        <w:t>）</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湖北省农担公司召开“新形势下担保业务可持续发展”专题讨论会</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政府性融资担保机构的可持续发展之道</w:t>
      </w:r>
    </w:p>
    <w:p>
      <w:pPr>
        <w:numPr>
          <w:ilvl w:val="0"/>
          <w:numId w:val="0"/>
        </w:numPr>
        <w:tabs>
          <w:tab w:val="left" w:pos="249"/>
        </w:tabs>
        <w:spacing w:line="540" w:lineRule="exact"/>
        <w:rPr>
          <w:rFonts w:hint="eastAsia" w:ascii="仿宋_GB2312" w:hAnsi="仿宋_GB2312" w:eastAsia="仿宋_GB2312" w:cs="仿宋_GB2312"/>
          <w:sz w:val="32"/>
          <w:szCs w:val="32"/>
          <w:lang w:val="en-US" w:eastAsia="zh-CN"/>
        </w:rPr>
      </w:pPr>
    </w:p>
    <w:p>
      <w:pPr>
        <w:numPr>
          <w:ilvl w:val="0"/>
          <w:numId w:val="0"/>
        </w:numPr>
        <w:tabs>
          <w:tab w:val="left" w:pos="249"/>
        </w:tabs>
        <w:spacing w:line="540" w:lineRule="exact"/>
        <w:rPr>
          <w:rFonts w:hint="eastAsia" w:ascii="仿宋_GB2312" w:hAnsi="仿宋_GB2312" w:eastAsia="仿宋_GB2312" w:cs="仿宋_GB2312"/>
          <w:sz w:val="32"/>
          <w:szCs w:val="32"/>
          <w:lang w:val="en-US" w:eastAsia="zh-CN"/>
        </w:rPr>
      </w:pPr>
    </w:p>
    <w:p>
      <w:pPr>
        <w:numPr>
          <w:ilvl w:val="0"/>
          <w:numId w:val="0"/>
        </w:numPr>
        <w:tabs>
          <w:tab w:val="left" w:pos="249"/>
        </w:tabs>
        <w:spacing w:line="540" w:lineRule="exact"/>
        <w:rPr>
          <w:rFonts w:hint="eastAsia" w:ascii="仿宋_GB2312" w:hAnsi="仿宋_GB2312" w:eastAsia="仿宋_GB2312" w:cs="仿宋_GB2312"/>
          <w:sz w:val="32"/>
          <w:szCs w:val="32"/>
          <w:lang w:val="en-US" w:eastAsia="zh-CN"/>
        </w:rPr>
      </w:pPr>
    </w:p>
    <w:p>
      <w:pPr>
        <w:numPr>
          <w:ilvl w:val="0"/>
          <w:numId w:val="1"/>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第二十届中央委员会第三次全体会议公报（金融相关节选）</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7月18日，全会审议通过了《中共中央关于进一步全面深化改革、推进中国式现代化的决定》。</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全会指出，</w:t>
      </w:r>
      <w:r>
        <w:rPr>
          <w:rFonts w:hint="default" w:ascii="仿宋_GB2312" w:hAnsi="仿宋_GB2312" w:eastAsia="仿宋_GB2312" w:cs="仿宋_GB2312"/>
          <w:sz w:val="32"/>
          <w:szCs w:val="32"/>
          <w:u w:val="single"/>
          <w:lang w:val="en-US" w:eastAsia="zh-CN"/>
        </w:rPr>
        <w:t>进一步全面深化改革的总目标</w:t>
      </w:r>
      <w:r>
        <w:rPr>
          <w:rFonts w:hint="default" w:ascii="仿宋_GB2312" w:hAnsi="仿宋_GB2312" w:eastAsia="仿宋_GB2312" w:cs="仿宋_GB2312"/>
          <w:sz w:val="32"/>
          <w:szCs w:val="32"/>
          <w:u w:val="none"/>
          <w:lang w:val="en-US" w:eastAsia="zh-CN"/>
        </w:rPr>
        <w:t>是继续完善和发展中国特色社会主义制度，推进国家治理体系和治理能力现代化。</w:t>
      </w:r>
      <w:r>
        <w:rPr>
          <w:rFonts w:hint="default" w:ascii="仿宋_GB2312" w:hAnsi="仿宋_GB2312" w:eastAsia="仿宋_GB2312" w:cs="仿宋_GB2312"/>
          <w:sz w:val="32"/>
          <w:szCs w:val="32"/>
          <w:u w:val="single"/>
          <w:lang w:val="en-US" w:eastAsia="zh-CN"/>
        </w:rPr>
        <w:t>到二〇三五年，全面建成高水平社会主义市场经济体制</w:t>
      </w:r>
      <w:r>
        <w:rPr>
          <w:rFonts w:hint="default" w:ascii="仿宋_GB2312" w:hAnsi="仿宋_GB2312" w:eastAsia="仿宋_GB2312" w:cs="仿宋_GB2312"/>
          <w:sz w:val="32"/>
          <w:szCs w:val="32"/>
          <w:u w:val="none"/>
          <w:lang w:val="en-US" w:eastAsia="zh-CN"/>
        </w:rPr>
        <w:t>，中国特色社会主义制度更加完善，基本实现国家治理体系和治理能力现代化，基本实现社会主义现代化，为到本世纪中叶全面建成社会主义现代化强国奠定坚实基础。</w:t>
      </w:r>
      <w:r>
        <w:rPr>
          <w:rFonts w:hint="default" w:ascii="仿宋_GB2312" w:hAnsi="仿宋_GB2312" w:eastAsia="仿宋_GB2312" w:cs="仿宋_GB2312"/>
          <w:sz w:val="32"/>
          <w:szCs w:val="32"/>
          <w:u w:val="single"/>
          <w:lang w:val="en-US" w:eastAsia="zh-CN"/>
        </w:rPr>
        <w:t>要聚焦构建高水平社会主义市场经济体制，</w:t>
      </w:r>
      <w:r>
        <w:rPr>
          <w:rFonts w:hint="default" w:ascii="仿宋_GB2312" w:hAnsi="仿宋_GB2312" w:eastAsia="仿宋_GB2312" w:cs="仿宋_GB2312"/>
          <w:sz w:val="32"/>
          <w:szCs w:val="32"/>
          <w:u w:val="none"/>
          <w:lang w:val="en-US" w:eastAsia="zh-CN"/>
        </w:rPr>
        <w:t>聚焦发展全过程人民民主，聚焦建设社会主义文化强国，聚焦提高人民生活品质，聚焦建设美丽中国，聚焦建设更高水平平安中国，聚焦提高党的领导水平和长期执政能力，继续把改革推向前进。</w:t>
      </w:r>
      <w:r>
        <w:rPr>
          <w:rFonts w:hint="default" w:ascii="仿宋_GB2312" w:hAnsi="仿宋_GB2312" w:eastAsia="仿宋_GB2312" w:cs="仿宋_GB2312"/>
          <w:sz w:val="32"/>
          <w:szCs w:val="32"/>
          <w:u w:val="single"/>
          <w:lang w:val="en-US" w:eastAsia="zh-CN"/>
        </w:rPr>
        <w:t>到二〇二九年中华人民共和国成立八十周年时，完成本决定提出的改革任务</w:t>
      </w:r>
      <w:r>
        <w:rPr>
          <w:rFonts w:hint="default" w:ascii="仿宋_GB2312" w:hAnsi="仿宋_GB2312" w:eastAsia="仿宋_GB2312" w:cs="仿宋_GB2312"/>
          <w:sz w:val="32"/>
          <w:szCs w:val="32"/>
          <w:u w:val="none"/>
          <w:lang w:val="en-US" w:eastAsia="zh-CN"/>
        </w:rPr>
        <w:t>。</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全会提出，高水平社会主义市场经济体制是中国式现代化的重要保障。必须</w:t>
      </w:r>
      <w:r>
        <w:rPr>
          <w:rFonts w:hint="default" w:ascii="仿宋_GB2312" w:hAnsi="仿宋_GB2312" w:eastAsia="仿宋_GB2312" w:cs="仿宋_GB2312"/>
          <w:sz w:val="32"/>
          <w:szCs w:val="32"/>
          <w:u w:val="single"/>
          <w:lang w:val="en-US" w:eastAsia="zh-CN"/>
        </w:rPr>
        <w:t>更好发挥市场机制作用</w:t>
      </w:r>
      <w:r>
        <w:rPr>
          <w:rFonts w:hint="default" w:ascii="仿宋_GB2312" w:hAnsi="仿宋_GB2312" w:eastAsia="仿宋_GB2312" w:cs="仿宋_GB2312"/>
          <w:sz w:val="32"/>
          <w:szCs w:val="32"/>
          <w:u w:val="none"/>
          <w:lang w:val="en-US" w:eastAsia="zh-CN"/>
        </w:rPr>
        <w:t>，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全会提出，</w:t>
      </w:r>
      <w:r>
        <w:rPr>
          <w:rFonts w:hint="default" w:ascii="仿宋_GB2312" w:hAnsi="仿宋_GB2312" w:eastAsia="仿宋_GB2312" w:cs="仿宋_GB2312"/>
          <w:sz w:val="32"/>
          <w:szCs w:val="32"/>
          <w:u w:val="single"/>
          <w:lang w:val="en-US" w:eastAsia="zh-CN"/>
        </w:rPr>
        <w:t>高质量发展是全面建设社会主义现代化国家的首要任务。</w:t>
      </w:r>
      <w:r>
        <w:rPr>
          <w:rFonts w:hint="default" w:ascii="仿宋_GB2312" w:hAnsi="仿宋_GB2312" w:eastAsia="仿宋_GB2312" w:cs="仿宋_GB2312"/>
          <w:sz w:val="32"/>
          <w:szCs w:val="32"/>
          <w:u w:val="none"/>
          <w:lang w:val="en-US" w:eastAsia="zh-CN"/>
        </w:rPr>
        <w:t>必须以新发展理念引领改革，立足新发展阶段，深化供给侧结构性改革，完善推动高质量发展激励约束机制，塑造发展新动能新优势。要健全因地制宜发展新质生产力体制机制，健全促进</w:t>
      </w:r>
      <w:r>
        <w:rPr>
          <w:rFonts w:hint="default" w:ascii="仿宋_GB2312" w:hAnsi="仿宋_GB2312" w:eastAsia="仿宋_GB2312" w:cs="仿宋_GB2312"/>
          <w:sz w:val="32"/>
          <w:szCs w:val="32"/>
          <w:u w:val="single"/>
          <w:lang w:val="en-US" w:eastAsia="zh-CN"/>
        </w:rPr>
        <w:t>实体经济和数字经济深度融合</w:t>
      </w:r>
      <w:r>
        <w:rPr>
          <w:rFonts w:hint="default" w:ascii="仿宋_GB2312" w:hAnsi="仿宋_GB2312" w:eastAsia="仿宋_GB2312" w:cs="仿宋_GB2312"/>
          <w:sz w:val="32"/>
          <w:szCs w:val="32"/>
          <w:u w:val="none"/>
          <w:lang w:val="en-US" w:eastAsia="zh-CN"/>
        </w:rPr>
        <w:t>制度，完善发展服务业体制机制，健全现代化基础设施建设体制机制，健全提升产业链供应链韧性和安全水平制度。</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全会分析了当前形势和任务，强调坚定不移实现全年经济社会发展目标。要按照党中央关于经济工作的决策部署，落实好宏观政策，积极扩大国内需求，</w:t>
      </w:r>
      <w:r>
        <w:rPr>
          <w:rFonts w:hint="default" w:ascii="仿宋_GB2312" w:hAnsi="仿宋_GB2312" w:eastAsia="仿宋_GB2312" w:cs="仿宋_GB2312"/>
          <w:sz w:val="32"/>
          <w:szCs w:val="32"/>
          <w:u w:val="single"/>
          <w:lang w:val="en-US" w:eastAsia="zh-CN"/>
        </w:rPr>
        <w:t>因地制宜发展新质生产力</w:t>
      </w:r>
      <w:r>
        <w:rPr>
          <w:rFonts w:hint="default" w:ascii="仿宋_GB2312" w:hAnsi="仿宋_GB2312" w:eastAsia="仿宋_GB2312" w:cs="仿宋_GB2312"/>
          <w:sz w:val="32"/>
          <w:szCs w:val="32"/>
          <w:u w:val="none"/>
          <w:lang w:val="en-US" w:eastAsia="zh-CN"/>
        </w:rPr>
        <w:t>，加快培育外贸新动能，扎实推进绿色低碳发展，切实保障和改善民生，</w:t>
      </w:r>
      <w:r>
        <w:rPr>
          <w:rFonts w:hint="default" w:ascii="仿宋_GB2312" w:hAnsi="仿宋_GB2312" w:eastAsia="仿宋_GB2312" w:cs="仿宋_GB2312"/>
          <w:sz w:val="32"/>
          <w:szCs w:val="32"/>
          <w:u w:val="single"/>
          <w:lang w:val="en-US" w:eastAsia="zh-CN"/>
        </w:rPr>
        <w:t>巩固拓展脱贫攻坚成果</w:t>
      </w:r>
      <w:r>
        <w:rPr>
          <w:rFonts w:hint="default" w:ascii="仿宋_GB2312" w:hAnsi="仿宋_GB2312" w:eastAsia="仿宋_GB2312" w:cs="仿宋_GB2312"/>
          <w:sz w:val="32"/>
          <w:szCs w:val="32"/>
          <w:u w:val="none"/>
          <w:lang w:val="en-US" w:eastAsia="zh-CN"/>
        </w:rPr>
        <w:t>。要总结评估“十四五”规划落实情况，切实搞好“十五五”规划前期谋划工作。</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全会指出，要统筹好发展和安全，落实好防范化解房地产、地方政府债务、</w:t>
      </w:r>
      <w:r>
        <w:rPr>
          <w:rFonts w:hint="default" w:ascii="仿宋_GB2312" w:hAnsi="仿宋_GB2312" w:eastAsia="仿宋_GB2312" w:cs="仿宋_GB2312"/>
          <w:sz w:val="32"/>
          <w:szCs w:val="32"/>
          <w:u w:val="single"/>
          <w:lang w:val="en-US" w:eastAsia="zh-CN"/>
        </w:rPr>
        <w:t>中小金融机构等重点领域风险</w:t>
      </w:r>
      <w:r>
        <w:rPr>
          <w:rFonts w:hint="default" w:ascii="仿宋_GB2312" w:hAnsi="仿宋_GB2312" w:eastAsia="仿宋_GB2312" w:cs="仿宋_GB2312"/>
          <w:sz w:val="32"/>
          <w:szCs w:val="32"/>
          <w:u w:val="none"/>
          <w:lang w:val="en-US" w:eastAsia="zh-CN"/>
        </w:rPr>
        <w:t>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全会提出，科学的宏观调控、有效的政府治理是发挥社会主义市场经济体制优势的内在要求。必须完善宏观调控制度体系，统筹推进财税、</w:t>
      </w:r>
      <w:r>
        <w:rPr>
          <w:rFonts w:hint="default" w:ascii="仿宋_GB2312" w:hAnsi="仿宋_GB2312" w:eastAsia="仿宋_GB2312" w:cs="仿宋_GB2312"/>
          <w:sz w:val="32"/>
          <w:szCs w:val="32"/>
          <w:u w:val="single"/>
          <w:lang w:val="en-US" w:eastAsia="zh-CN"/>
        </w:rPr>
        <w:t>金融</w:t>
      </w:r>
      <w:r>
        <w:rPr>
          <w:rFonts w:hint="default" w:ascii="仿宋_GB2312" w:hAnsi="仿宋_GB2312" w:eastAsia="仿宋_GB2312" w:cs="仿宋_GB2312"/>
          <w:sz w:val="32"/>
          <w:szCs w:val="32"/>
          <w:u w:val="none"/>
          <w:lang w:val="en-US" w:eastAsia="zh-CN"/>
        </w:rPr>
        <w:t>等重点领域改革，增强宏观政策取向一致性。要完善国家战略规划体系和政策统筹协调机制，深化财税体制改革，</w:t>
      </w:r>
      <w:r>
        <w:rPr>
          <w:rFonts w:hint="default" w:ascii="仿宋_GB2312" w:hAnsi="仿宋_GB2312" w:eastAsia="仿宋_GB2312" w:cs="仿宋_GB2312"/>
          <w:sz w:val="32"/>
          <w:szCs w:val="32"/>
          <w:u w:val="single"/>
          <w:lang w:val="en-US" w:eastAsia="zh-CN"/>
        </w:rPr>
        <w:t>深化金融体制改革</w:t>
      </w:r>
      <w:r>
        <w:rPr>
          <w:rFonts w:hint="default" w:ascii="仿宋_GB2312" w:hAnsi="仿宋_GB2312" w:eastAsia="仿宋_GB2312" w:cs="仿宋_GB2312"/>
          <w:sz w:val="32"/>
          <w:szCs w:val="32"/>
          <w:u w:val="none"/>
          <w:lang w:val="en-US" w:eastAsia="zh-CN"/>
        </w:rPr>
        <w:t>，完善实施区域协调发展战略机制。</w:t>
      </w:r>
    </w:p>
    <w:p>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来源：新华社</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中金：联合解读二十届三中全会公报</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二十届三中全会聚焦“进一步全面深化改革、推进中国式现代化”，并提出了改革的时间表。二十大报告明确指出，中国共产党的核心任务是“团结带领全国各族人民全面建成社会主义现代化强国、实现第二个百年奋斗目标，以中国式现代化全面推进中华民族伟大复兴”。本次三中全会延续了二十大报告的精神，聚焦中国式现代化与进一步全面深化改革，审议通过了《中共中央关于进一步全面深化改革、推进中国式现代化的决定》（下文指“本决定”）。会议公报中进一步明确，</w:t>
      </w:r>
      <w:r>
        <w:rPr>
          <w:rFonts w:hint="default" w:ascii="仿宋_GB2312" w:hAnsi="仿宋_GB2312" w:eastAsia="仿宋_GB2312" w:cs="仿宋_GB2312"/>
          <w:sz w:val="32"/>
          <w:szCs w:val="32"/>
          <w:u w:val="single"/>
          <w:lang w:val="en-US" w:eastAsia="zh-CN"/>
        </w:rPr>
        <w:t>“进一步全面深化改革”为“中国式现代化提供强大动力和制度保障”，并提出“到二〇三五年，全面建成高水平社会主义市场经济体制”、“到二〇二九年中华人民共和国成立八十周年时，完成本决定提出的改革任务”</w:t>
      </w:r>
      <w:r>
        <w:rPr>
          <w:rFonts w:hint="default" w:ascii="仿宋_GB2312" w:hAnsi="仿宋_GB2312" w:eastAsia="仿宋_GB2312" w:cs="仿宋_GB2312"/>
          <w:sz w:val="32"/>
          <w:szCs w:val="32"/>
          <w:u w:val="none"/>
          <w:lang w:val="en-US" w:eastAsia="zh-CN"/>
        </w:rPr>
        <w:t>。本文将从宏观和策略的角度进行解读。</w:t>
      </w:r>
    </w:p>
    <w:p>
      <w:pPr>
        <w:numPr>
          <w:ilvl w:val="0"/>
          <w:numId w:val="0"/>
        </w:numPr>
        <w:tabs>
          <w:tab w:val="left" w:pos="249"/>
        </w:tabs>
        <w:spacing w:line="540" w:lineRule="exact"/>
        <w:ind w:firstLine="640"/>
        <w:jc w:val="center"/>
        <w:rPr>
          <w:rFonts w:hint="default" w:ascii="仿宋_GB2312" w:hAnsi="仿宋_GB2312" w:eastAsia="仿宋_GB2312" w:cs="仿宋_GB2312"/>
          <w:b/>
          <w:bCs/>
          <w:sz w:val="32"/>
          <w:szCs w:val="32"/>
          <w:u w:val="none"/>
          <w:lang w:val="en-US" w:eastAsia="zh-CN"/>
        </w:rPr>
      </w:pPr>
      <w:r>
        <w:rPr>
          <w:rFonts w:hint="default" w:ascii="仿宋_GB2312" w:hAnsi="仿宋_GB2312" w:eastAsia="仿宋_GB2312" w:cs="仿宋_GB2312"/>
          <w:b/>
          <w:bCs/>
          <w:sz w:val="32"/>
          <w:szCs w:val="32"/>
          <w:u w:val="none"/>
          <w:lang w:val="en-US" w:eastAsia="zh-CN"/>
        </w:rPr>
        <w:t>宏观：对进一步全面深化改革做出系统部署</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从公报来看，进一步全面深化改革“坚持以制度建设为主线”、“坚持系统观念”，意味着深化改革的</w:t>
      </w:r>
      <w:r>
        <w:rPr>
          <w:rFonts w:hint="default" w:ascii="仿宋_GB2312" w:hAnsi="仿宋_GB2312" w:eastAsia="仿宋_GB2312" w:cs="仿宋_GB2312"/>
          <w:sz w:val="32"/>
          <w:szCs w:val="32"/>
          <w:u w:val="single"/>
          <w:lang w:val="en-US" w:eastAsia="zh-CN"/>
        </w:rPr>
        <w:t>具体工作方向是多元的、计划是偏中长期</w:t>
      </w:r>
      <w:r>
        <w:rPr>
          <w:rFonts w:hint="default" w:ascii="仿宋_GB2312" w:hAnsi="仿宋_GB2312" w:eastAsia="仿宋_GB2312" w:cs="仿宋_GB2312"/>
          <w:sz w:val="32"/>
          <w:szCs w:val="32"/>
          <w:u w:val="none"/>
          <w:lang w:val="en-US" w:eastAsia="zh-CN"/>
        </w:rPr>
        <w:t>的。从公报来看，本次三中全会延续了二十大报告对“国内国际”两个大局，统筹“五位一体”总体布局、“四个全面”战略布局的综合性考虑，对进一步全面深化改革做出“系统部署”，包括构建高水平社会主义市场经济体制、健全推动经济高质量发展体制机制等十多个重大任务做出了系统部署。会议强调要以“经济体制改革”为牵引，十多个重大任务中至少有如下几个与经济工作直接相关，</w:t>
      </w:r>
      <w:r>
        <w:rPr>
          <w:rFonts w:hint="default" w:ascii="仿宋_GB2312" w:hAnsi="仿宋_GB2312" w:eastAsia="仿宋_GB2312" w:cs="仿宋_GB2312"/>
          <w:b/>
          <w:bCs/>
          <w:sz w:val="32"/>
          <w:szCs w:val="32"/>
          <w:u w:val="none"/>
          <w:lang w:val="en-US" w:eastAsia="zh-CN"/>
        </w:rPr>
        <w:t>具体来看</w:t>
      </w:r>
      <w:r>
        <w:rPr>
          <w:rFonts w:hint="default" w:ascii="仿宋_GB2312" w:hAnsi="仿宋_GB2312" w:eastAsia="仿宋_GB2312" w:cs="仿宋_GB2312"/>
          <w:sz w:val="32"/>
          <w:szCs w:val="32"/>
          <w:u w:val="none"/>
          <w:lang w:val="en-US" w:eastAsia="zh-CN"/>
        </w:rPr>
        <w:t>：</w:t>
      </w:r>
    </w:p>
    <w:p>
      <w:pPr>
        <w:numPr>
          <w:ilvl w:val="0"/>
          <w:numId w:val="0"/>
        </w:numPr>
        <w:tabs>
          <w:tab w:val="left" w:pos="249"/>
        </w:tabs>
        <w:spacing w:line="540" w:lineRule="exact"/>
        <w:ind w:firstLine="643" w:firstLineChars="20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全会提出，高水平社会主义市场经济体制是中国式现代化的重要保障。</w:t>
      </w:r>
      <w:r>
        <w:rPr>
          <w:rFonts w:hint="default" w:ascii="仿宋_GB2312" w:hAnsi="仿宋_GB2312" w:eastAsia="仿宋_GB2312" w:cs="仿宋_GB2312"/>
          <w:sz w:val="32"/>
          <w:szCs w:val="32"/>
          <w:u w:val="none"/>
          <w:lang w:val="en-US" w:eastAsia="zh-CN"/>
        </w:rPr>
        <w:t>2020年6月中共中央国务院曾经发布《关于新时代加快完善社会主义市场经济体制的意见》，并从基本经济制度、市场基础性作用、要素市场制度建设、完善政府职能、民生保障、开放战略等角度进行系统设计。本次全会强调“必须</w:t>
      </w:r>
      <w:r>
        <w:rPr>
          <w:rFonts w:hint="default" w:ascii="仿宋_GB2312" w:hAnsi="仿宋_GB2312" w:eastAsia="仿宋_GB2312" w:cs="仿宋_GB2312"/>
          <w:sz w:val="32"/>
          <w:szCs w:val="32"/>
          <w:u w:val="single"/>
          <w:lang w:val="en-US" w:eastAsia="zh-CN"/>
        </w:rPr>
        <w:t>更好发挥市场机制作用</w:t>
      </w:r>
      <w:r>
        <w:rPr>
          <w:rFonts w:hint="default" w:ascii="仿宋_GB2312" w:hAnsi="仿宋_GB2312" w:eastAsia="仿宋_GB2312" w:cs="仿宋_GB2312"/>
          <w:sz w:val="32"/>
          <w:szCs w:val="32"/>
          <w:u w:val="none"/>
          <w:lang w:val="en-US" w:eastAsia="zh-CN"/>
        </w:rPr>
        <w:t>……实现资源配置效率最优化和效益最大化，既‘放得活’又‘管得住’，更好维护市场秩序、弥补市场失灵”，这</w:t>
      </w:r>
      <w:r>
        <w:rPr>
          <w:rFonts w:hint="default" w:ascii="仿宋_GB2312" w:hAnsi="仿宋_GB2312" w:eastAsia="仿宋_GB2312" w:cs="仿宋_GB2312"/>
          <w:sz w:val="32"/>
          <w:szCs w:val="32"/>
          <w:u w:val="single"/>
          <w:lang w:val="en-US" w:eastAsia="zh-CN"/>
        </w:rPr>
        <w:t>与二十大报告</w:t>
      </w:r>
      <w:r>
        <w:rPr>
          <w:rFonts w:hint="default" w:ascii="仿宋_GB2312" w:hAnsi="仿宋_GB2312" w:eastAsia="仿宋_GB2312" w:cs="仿宋_GB2312"/>
          <w:sz w:val="32"/>
          <w:szCs w:val="32"/>
          <w:u w:val="none"/>
          <w:lang w:val="en-US" w:eastAsia="zh-CN"/>
        </w:rPr>
        <w:t>中“充分发挥市场在资源配置中的决定性作用，更好发挥政府作用”，将</w:t>
      </w:r>
      <w:r>
        <w:rPr>
          <w:rFonts w:hint="default" w:ascii="仿宋_GB2312" w:hAnsi="仿宋_GB2312" w:eastAsia="仿宋_GB2312" w:cs="仿宋_GB2312"/>
          <w:sz w:val="32"/>
          <w:szCs w:val="32"/>
          <w:u w:val="single"/>
          <w:lang w:val="en-US" w:eastAsia="zh-CN"/>
        </w:rPr>
        <w:t>有效市场与有为政府相结合</w:t>
      </w:r>
      <w:r>
        <w:rPr>
          <w:rFonts w:hint="default" w:ascii="仿宋_GB2312" w:hAnsi="仿宋_GB2312" w:eastAsia="仿宋_GB2312" w:cs="仿宋_GB2312"/>
          <w:sz w:val="32"/>
          <w:szCs w:val="32"/>
          <w:u w:val="none"/>
          <w:lang w:val="en-US" w:eastAsia="zh-CN"/>
        </w:rPr>
        <w:t>的思路</w:t>
      </w:r>
      <w:r>
        <w:rPr>
          <w:rFonts w:hint="default" w:ascii="仿宋_GB2312" w:hAnsi="仿宋_GB2312" w:eastAsia="仿宋_GB2312" w:cs="仿宋_GB2312"/>
          <w:sz w:val="32"/>
          <w:szCs w:val="32"/>
          <w:u w:val="single"/>
          <w:lang w:val="en-US" w:eastAsia="zh-CN"/>
        </w:rPr>
        <w:t>一脉相承</w:t>
      </w:r>
      <w:r>
        <w:rPr>
          <w:rFonts w:hint="default" w:ascii="仿宋_GB2312" w:hAnsi="仿宋_GB2312" w:eastAsia="仿宋_GB2312" w:cs="仿宋_GB2312"/>
          <w:sz w:val="32"/>
          <w:szCs w:val="32"/>
          <w:u w:val="none"/>
          <w:lang w:val="en-US" w:eastAsia="zh-CN"/>
        </w:rPr>
        <w:t>。全会也继续强调两个“毫不动摇”，保证各种所有制“平等使用生产要素、公平参与市场竞争、同等受到法律保护”。再者，全会强调“构建全国统一大市场，完善市场经济基础制度”。</w:t>
      </w:r>
    </w:p>
    <w:p>
      <w:pPr>
        <w:numPr>
          <w:ilvl w:val="0"/>
          <w:numId w:val="0"/>
        </w:numPr>
        <w:tabs>
          <w:tab w:val="left" w:pos="249"/>
        </w:tabs>
        <w:spacing w:line="540" w:lineRule="exact"/>
        <w:ind w:firstLine="643" w:firstLineChars="20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在健全推动经济高质量发展体制机制方面，重点关注“高质量发展激励约束机制”</w:t>
      </w:r>
      <w:r>
        <w:rPr>
          <w:rFonts w:hint="default" w:ascii="仿宋_GB2312" w:hAnsi="仿宋_GB2312" w:eastAsia="仿宋_GB2312" w:cs="仿宋_GB2312"/>
          <w:sz w:val="32"/>
          <w:szCs w:val="32"/>
          <w:u w:val="none"/>
          <w:lang w:val="en-US" w:eastAsia="zh-CN"/>
        </w:rPr>
        <w:t>。本次会议公报提出，要“完善推动高质量发展激励约束机制，塑造发展新动能新优势”。如何理解“高质量发展激励约束机制”</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从公开信息来看，近年来各省已经在针对性地调整考核机制，来适应新发展理念的内在要求。例如，</w:t>
      </w:r>
      <w:r>
        <w:rPr>
          <w:rFonts w:hint="default" w:ascii="仿宋_GB2312" w:hAnsi="仿宋_GB2312" w:eastAsia="仿宋_GB2312" w:cs="仿宋_GB2312"/>
          <w:sz w:val="32"/>
          <w:szCs w:val="32"/>
          <w:u w:val="single"/>
          <w:lang w:val="en-US" w:eastAsia="zh-CN"/>
        </w:rPr>
        <w:t>四川省省长黄强今年4月10日指出，“四川始终以创新、协调、绿色、开放、共享的内在统一来把握发展、衡量发展、推动发展，正在对照国家考核办法，修订完善全省考核评价指标体系”</w:t>
      </w:r>
      <w:r>
        <w:rPr>
          <w:rFonts w:hint="default" w:ascii="仿宋_GB2312" w:hAnsi="仿宋_GB2312" w:eastAsia="仿宋_GB2312" w:cs="仿宋_GB2312"/>
          <w:sz w:val="32"/>
          <w:szCs w:val="32"/>
          <w:u w:val="none"/>
          <w:lang w:val="en-US" w:eastAsia="zh-CN"/>
        </w:rPr>
        <w:t>。从部分公开的地方高质量考核文件来看，考核办法中包括“经济发展、开放水平、创新驱动、生态集约、统筹协调”五大类一级指标。在质量发展的产业方向上，本次会议提出“</w:t>
      </w:r>
      <w:r>
        <w:rPr>
          <w:rFonts w:hint="default" w:ascii="仿宋_GB2312" w:hAnsi="仿宋_GB2312" w:eastAsia="仿宋_GB2312" w:cs="仿宋_GB2312"/>
          <w:sz w:val="32"/>
          <w:szCs w:val="32"/>
          <w:u w:val="single"/>
          <w:lang w:val="en-US" w:eastAsia="zh-CN"/>
        </w:rPr>
        <w:t>实体经济和数字经济深度融合</w:t>
      </w:r>
      <w:r>
        <w:rPr>
          <w:rFonts w:hint="default" w:ascii="仿宋_GB2312" w:hAnsi="仿宋_GB2312" w:eastAsia="仿宋_GB2312" w:cs="仿宋_GB2312"/>
          <w:sz w:val="32"/>
          <w:szCs w:val="32"/>
          <w:u w:val="none"/>
          <w:lang w:val="en-US" w:eastAsia="zh-CN"/>
        </w:rPr>
        <w:t>”、“现代化基础设施建设”、“产业链供应链韧性和安全”等。我们认为，这是百年大变局的背景下，兼顾公平与效率、促进</w:t>
      </w:r>
      <w:r>
        <w:rPr>
          <w:rFonts w:hint="default" w:ascii="仿宋_GB2312" w:hAnsi="仿宋_GB2312" w:eastAsia="仿宋_GB2312" w:cs="仿宋_GB2312"/>
          <w:sz w:val="32"/>
          <w:szCs w:val="32"/>
          <w:u w:val="single"/>
          <w:lang w:val="en-US" w:eastAsia="zh-CN"/>
        </w:rPr>
        <w:t>可持续发展的内在要求</w:t>
      </w:r>
      <w:r>
        <w:rPr>
          <w:rFonts w:hint="default" w:ascii="仿宋_GB2312" w:hAnsi="仿宋_GB2312" w:eastAsia="仿宋_GB2312" w:cs="仿宋_GB2312"/>
          <w:sz w:val="32"/>
          <w:szCs w:val="32"/>
          <w:u w:val="none"/>
          <w:lang w:val="en-US" w:eastAsia="zh-CN"/>
        </w:rPr>
        <w:t>。</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财政政策兼具逆周期和跨周期调节功能，财税体制自身的改革或持续推进。</w:t>
      </w:r>
      <w:r>
        <w:rPr>
          <w:rFonts w:hint="default" w:ascii="仿宋_GB2312" w:hAnsi="仿宋_GB2312" w:eastAsia="仿宋_GB2312" w:cs="仿宋_GB2312"/>
          <w:sz w:val="32"/>
          <w:szCs w:val="32"/>
          <w:u w:val="none"/>
          <w:lang w:val="en-US" w:eastAsia="zh-CN"/>
        </w:rPr>
        <w:t>本次三中全会指出，“统筹推进财税、金融等重点领域改革，</w:t>
      </w:r>
      <w:r>
        <w:rPr>
          <w:rFonts w:hint="default" w:ascii="仿宋_GB2312" w:hAnsi="仿宋_GB2312" w:eastAsia="仿宋_GB2312" w:cs="仿宋_GB2312"/>
          <w:sz w:val="32"/>
          <w:szCs w:val="32"/>
          <w:u w:val="single"/>
          <w:lang w:val="en-US" w:eastAsia="zh-CN"/>
        </w:rPr>
        <w:t>增强宏观政策取向一致性</w:t>
      </w:r>
      <w:r>
        <w:rPr>
          <w:rFonts w:hint="default" w:ascii="仿宋_GB2312" w:hAnsi="仿宋_GB2312" w:eastAsia="仿宋_GB2312" w:cs="仿宋_GB2312"/>
          <w:sz w:val="32"/>
          <w:szCs w:val="32"/>
          <w:u w:val="none"/>
          <w:lang w:val="en-US" w:eastAsia="zh-CN"/>
        </w:rPr>
        <w:t>”，2024年《政府工作报告》辅导读本在《推进财税金融等领域改革》一文中指出，要“稳步推进税制改革…要在保持宏观税负和基本税制稳定的前提下，进一步改革完善税收制度。一是优化税制结构…二是推动消费税改革，完善增值税制度，畅通抵扣链条…三是深化税收征管改革…全面规范税收优惠政策”。考虑到当前中国宏观税负并不高，我们认为未来税收制度的完善或更多是结构性改革，同时</w:t>
      </w:r>
      <w:r>
        <w:rPr>
          <w:rFonts w:hint="default" w:ascii="仿宋_GB2312" w:hAnsi="仿宋_GB2312" w:eastAsia="仿宋_GB2312" w:cs="仿宋_GB2312"/>
          <w:sz w:val="32"/>
          <w:szCs w:val="32"/>
          <w:u w:val="single"/>
          <w:lang w:val="en-US" w:eastAsia="zh-CN"/>
        </w:rPr>
        <w:t>财政与其他宏观政策的协同有望进一步提升</w:t>
      </w:r>
      <w:r>
        <w:rPr>
          <w:rFonts w:hint="default" w:ascii="仿宋_GB2312" w:hAnsi="仿宋_GB2312" w:eastAsia="仿宋_GB2312" w:cs="仿宋_GB2312"/>
          <w:sz w:val="32"/>
          <w:szCs w:val="32"/>
          <w:u w:val="none"/>
          <w:lang w:val="en-US" w:eastAsia="zh-CN"/>
        </w:rPr>
        <w:t>。再者，我们认为财政对民生和创新等领域的支出力度有望进一步提升，全会指出，“在发展中保障和改善民生是中国式现代化的重大任务”，其中提到的完善基本公共服务、完善收入分配制度、健全社会保障体系等，我们认为财政有望加强在民生和创新等领域的支出。同时，我们认为统筹发展与安全或也体现在财税领域中，比如全会指出“健全现代化基础设施建设体制机制”，“落实好防范化解地方政府债务等重点领域风险的各项举措”。</w:t>
      </w:r>
      <w:r>
        <w:rPr>
          <w:rFonts w:hint="eastAsia" w:ascii="仿宋_GB2312" w:hAnsi="仿宋_GB2312" w:eastAsia="仿宋_GB2312" w:cs="仿宋_GB2312"/>
          <w:sz w:val="32"/>
          <w:szCs w:val="32"/>
          <w:u w:val="none"/>
          <w:lang w:val="en-US" w:eastAsia="zh-CN"/>
        </w:rPr>
        <w:t>、</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我们认为，</w:t>
      </w:r>
      <w:r>
        <w:rPr>
          <w:rFonts w:hint="default" w:ascii="仿宋_GB2312" w:hAnsi="仿宋_GB2312" w:eastAsia="仿宋_GB2312" w:cs="仿宋_GB2312"/>
          <w:b/>
          <w:bCs/>
          <w:sz w:val="32"/>
          <w:szCs w:val="32"/>
          <w:u w:val="none"/>
          <w:lang w:val="en-US" w:eastAsia="zh-CN"/>
        </w:rPr>
        <w:t>财政货币的协同可能成为宏观经济治理改革中的重要方向。</w:t>
      </w:r>
      <w:r>
        <w:rPr>
          <w:rFonts w:hint="default" w:ascii="仿宋_GB2312" w:hAnsi="仿宋_GB2312" w:eastAsia="仿宋_GB2312" w:cs="仿宋_GB2312"/>
          <w:sz w:val="32"/>
          <w:szCs w:val="32"/>
          <w:u w:val="none"/>
          <w:lang w:val="en-US" w:eastAsia="zh-CN"/>
        </w:rPr>
        <w:t>我们在报告《从货币变局看金融由“大”而“强”》中指出，随着金融周期下行，信贷减速，房地产与债务风险释放，原有的货币投放方式发生较大变化。中国的货币投放伴随着经济增长模式的切换而进入一个过渡期。在这个过渡期内，</w:t>
      </w:r>
      <w:r>
        <w:rPr>
          <w:rFonts w:hint="default" w:ascii="仿宋_GB2312" w:hAnsi="仿宋_GB2312" w:eastAsia="仿宋_GB2312" w:cs="仿宋_GB2312"/>
          <w:sz w:val="32"/>
          <w:szCs w:val="32"/>
          <w:u w:val="single"/>
          <w:lang w:val="en-US" w:eastAsia="zh-CN"/>
        </w:rPr>
        <w:t>经济增长面临下行压力，但迎来了经济与金融结构调整的宝贵机会</w:t>
      </w:r>
      <w:r>
        <w:rPr>
          <w:rFonts w:hint="default"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single"/>
          <w:lang w:val="en-US" w:eastAsia="zh-CN"/>
        </w:rPr>
        <w:t>需要财政在货币投放中起到更重要的作用</w:t>
      </w:r>
      <w:r>
        <w:rPr>
          <w:rFonts w:hint="default" w:ascii="仿宋_GB2312" w:hAnsi="仿宋_GB2312" w:eastAsia="仿宋_GB2312" w:cs="仿宋_GB2312"/>
          <w:sz w:val="32"/>
          <w:szCs w:val="32"/>
          <w:u w:val="none"/>
          <w:lang w:val="en-US" w:eastAsia="zh-CN"/>
        </w:rPr>
        <w:t>。财政投放货币，既适应</w:t>
      </w:r>
      <w:r>
        <w:rPr>
          <w:rFonts w:hint="default" w:ascii="仿宋_GB2312" w:hAnsi="仿宋_GB2312" w:eastAsia="仿宋_GB2312" w:cs="仿宋_GB2312"/>
          <w:sz w:val="32"/>
          <w:szCs w:val="32"/>
          <w:u w:val="single"/>
          <w:lang w:val="en-US" w:eastAsia="zh-CN"/>
        </w:rPr>
        <w:t>逆周期调节</w:t>
      </w:r>
      <w:r>
        <w:rPr>
          <w:rFonts w:hint="default" w:ascii="仿宋_GB2312" w:hAnsi="仿宋_GB2312" w:eastAsia="仿宋_GB2312" w:cs="仿宋_GB2312"/>
          <w:sz w:val="32"/>
          <w:szCs w:val="32"/>
          <w:u w:val="none"/>
          <w:lang w:val="en-US" w:eastAsia="zh-CN"/>
        </w:rPr>
        <w:t>的要求，也顺应</w:t>
      </w:r>
      <w:r>
        <w:rPr>
          <w:rFonts w:hint="default" w:ascii="仿宋_GB2312" w:hAnsi="仿宋_GB2312" w:eastAsia="仿宋_GB2312" w:cs="仿宋_GB2312"/>
          <w:sz w:val="32"/>
          <w:szCs w:val="32"/>
          <w:u w:val="single"/>
          <w:lang w:val="en-US" w:eastAsia="zh-CN"/>
        </w:rPr>
        <w:t>经济结构调整</w:t>
      </w:r>
      <w:r>
        <w:rPr>
          <w:rFonts w:hint="default" w:ascii="仿宋_GB2312" w:hAnsi="仿宋_GB2312" w:eastAsia="仿宋_GB2312" w:cs="仿宋_GB2312"/>
          <w:sz w:val="32"/>
          <w:szCs w:val="32"/>
          <w:u w:val="none"/>
          <w:lang w:val="en-US" w:eastAsia="zh-CN"/>
        </w:rPr>
        <w:t>的内在需要。不同的货币投放方式可能会影响到行业之间的竞争和要素流动，从而也会影响到整个社会的投资回报率，而财政投放货币对投资回报率的影响跟资金流向有很大关系，也是</w:t>
      </w:r>
      <w:r>
        <w:rPr>
          <w:rFonts w:hint="default" w:ascii="仿宋_GB2312" w:hAnsi="仿宋_GB2312" w:eastAsia="仿宋_GB2312" w:cs="仿宋_GB2312"/>
          <w:sz w:val="32"/>
          <w:szCs w:val="32"/>
          <w:u w:val="single"/>
          <w:lang w:val="en-US" w:eastAsia="zh-CN"/>
        </w:rPr>
        <w:t>公共债务是否可持续的关键</w:t>
      </w:r>
      <w:r>
        <w:rPr>
          <w:rFonts w:hint="default" w:ascii="仿宋_GB2312" w:hAnsi="仿宋_GB2312" w:eastAsia="仿宋_GB2312" w:cs="仿宋_GB2312"/>
          <w:sz w:val="32"/>
          <w:szCs w:val="32"/>
          <w:u w:val="none"/>
          <w:lang w:val="en-US" w:eastAsia="zh-CN"/>
        </w:rPr>
        <w:t>，高效的财政扩张将是市场友好型的，除了继续直接大力支持科技创新，支持居民消费也可以更好地发挥资源配置的作用。</w:t>
      </w:r>
    </w:p>
    <w:p>
      <w:pPr>
        <w:numPr>
          <w:ilvl w:val="0"/>
          <w:numId w:val="0"/>
        </w:numPr>
        <w:tabs>
          <w:tab w:val="left" w:pos="249"/>
        </w:tabs>
        <w:spacing w:line="540" w:lineRule="exact"/>
        <w:ind w:firstLine="640"/>
        <w:jc w:val="center"/>
        <w:rPr>
          <w:rFonts w:hint="default" w:ascii="仿宋_GB2312" w:hAnsi="仿宋_GB2312" w:eastAsia="仿宋_GB2312" w:cs="仿宋_GB2312"/>
          <w:b/>
          <w:bCs/>
          <w:sz w:val="32"/>
          <w:szCs w:val="32"/>
          <w:u w:val="none"/>
          <w:lang w:val="en-US" w:eastAsia="zh-CN"/>
        </w:rPr>
      </w:pPr>
      <w:r>
        <w:rPr>
          <w:rFonts w:hint="default" w:ascii="仿宋_GB2312" w:hAnsi="仿宋_GB2312" w:eastAsia="仿宋_GB2312" w:cs="仿宋_GB2312"/>
          <w:b/>
          <w:bCs/>
          <w:sz w:val="32"/>
          <w:szCs w:val="32"/>
          <w:u w:val="none"/>
          <w:lang w:val="en-US" w:eastAsia="zh-CN"/>
        </w:rPr>
        <w:t>策略：以进一步全面深化改革推进中国式现代化</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深化改革方向的更具体表述可能需要同时关注《决定》精神，从本次公报来看，系统部署建议关注以下几个方面：1）</w:t>
      </w:r>
      <w:r>
        <w:rPr>
          <w:rFonts w:hint="default" w:ascii="仿宋_GB2312" w:hAnsi="仿宋_GB2312" w:eastAsia="仿宋_GB2312" w:cs="仿宋_GB2312"/>
          <w:sz w:val="32"/>
          <w:szCs w:val="32"/>
          <w:u w:val="single"/>
          <w:lang w:val="en-US" w:eastAsia="zh-CN"/>
        </w:rPr>
        <w:t>构建高水平社会主义市场经济体制</w:t>
      </w:r>
      <w:r>
        <w:rPr>
          <w:rFonts w:hint="default" w:ascii="仿宋_GB2312" w:hAnsi="仿宋_GB2312" w:eastAsia="仿宋_GB2312" w:cs="仿宋_GB2312"/>
          <w:sz w:val="32"/>
          <w:szCs w:val="32"/>
          <w:u w:val="none"/>
          <w:lang w:val="en-US" w:eastAsia="zh-CN"/>
        </w:rPr>
        <w:t>。公报强调市场环境要“既‘放得活’又‘管得住’”，关注全国统一大市场的构建等；2）</w:t>
      </w:r>
      <w:r>
        <w:rPr>
          <w:rFonts w:hint="default" w:ascii="仿宋_GB2312" w:hAnsi="仿宋_GB2312" w:eastAsia="仿宋_GB2312" w:cs="仿宋_GB2312"/>
          <w:sz w:val="32"/>
          <w:szCs w:val="32"/>
          <w:u w:val="single"/>
          <w:lang w:val="en-US" w:eastAsia="zh-CN"/>
        </w:rPr>
        <w:t>健全推动经济高质量发展体制机制。包括发展新质生产力体制机制、健全促进实体经济和数字经济深度融合制度等</w:t>
      </w:r>
      <w:r>
        <w:rPr>
          <w:rFonts w:hint="default" w:ascii="仿宋_GB2312" w:hAnsi="仿宋_GB2312" w:eastAsia="仿宋_GB2312" w:cs="仿宋_GB2312"/>
          <w:sz w:val="32"/>
          <w:szCs w:val="32"/>
          <w:u w:val="none"/>
          <w:lang w:val="en-US" w:eastAsia="zh-CN"/>
        </w:rPr>
        <w:t>；3）构建支持全面创新体制机制。涉及教育、科技、人才领域的体制机制改革；4）</w:t>
      </w:r>
      <w:r>
        <w:rPr>
          <w:rFonts w:hint="default" w:ascii="仿宋_GB2312" w:hAnsi="仿宋_GB2312" w:eastAsia="仿宋_GB2312" w:cs="仿宋_GB2312"/>
          <w:sz w:val="32"/>
          <w:szCs w:val="32"/>
          <w:u w:val="single"/>
          <w:lang w:val="en-US" w:eastAsia="zh-CN"/>
        </w:rPr>
        <w:t>健全宏观经济治理体系。关注财税、金融等重点领域改革</w:t>
      </w:r>
      <w:r>
        <w:rPr>
          <w:rFonts w:hint="default" w:ascii="仿宋_GB2312" w:hAnsi="仿宋_GB2312" w:eastAsia="仿宋_GB2312" w:cs="仿宋_GB2312"/>
          <w:sz w:val="32"/>
          <w:szCs w:val="32"/>
          <w:u w:val="none"/>
          <w:lang w:val="en-US" w:eastAsia="zh-CN"/>
        </w:rPr>
        <w:t>；5）完善城乡融合发展体制机制。强调“深化土地制度改革”；6）完善高水平对外开放体制机制。包括稳步扩大制度型开放、完善推进高质量共建“一带一路”机制等。7）健全全过程人民民主制度体系。包括加强人民当家作主制度建设等；8）完善中国特色社会主义法治体系。深化立法领域改革；9）深化文化体制机制改革。关注网络综合治理体系及国际传播体系构建；10）健全保障和改善民生制度体系。强调完善收入分配制度、就业优先政策等；11）深化生态文明体制改革。协同推进降碳、减污、扩绿、增长；12）推进国家安全体系和能力现代化。包括健全国家安全体系，完善公共安全治理机制等；13）持续深化国防和军队改革；14）提高党对进一步全面深化改革、推进中国式现代化的领导水平。</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中长期改革红利将对资本市场发展带来积极影响。</w:t>
      </w:r>
      <w:r>
        <w:rPr>
          <w:rFonts w:hint="default" w:ascii="仿宋_GB2312" w:hAnsi="仿宋_GB2312" w:eastAsia="仿宋_GB2312" w:cs="仿宋_GB2312"/>
          <w:sz w:val="32"/>
          <w:szCs w:val="32"/>
          <w:u w:val="none"/>
          <w:lang w:val="en-US" w:eastAsia="zh-CN"/>
        </w:rPr>
        <w:t>此次公报展现出全会在经济、政治、法制、开放、民生等方向上的全方位、系统性改革部署，立意高、内容广。我们认为进一步全面深化改革一方面有助于巩固我国改革开放以来已经取得的发展成果，另一方面也为当前和今后一个时期如何实现中国式现代化指明了方向。中长期改革红利结合我国经济的高质量建设，是我国资本市场稳健发展的基石。结合此前4月发布的</w:t>
      </w:r>
      <w:r>
        <w:rPr>
          <w:rFonts w:hint="default" w:ascii="仿宋_GB2312" w:hAnsi="仿宋_GB2312" w:eastAsia="仿宋_GB2312" w:cs="仿宋_GB2312"/>
          <w:sz w:val="32"/>
          <w:szCs w:val="32"/>
          <w:u w:val="single"/>
          <w:lang w:val="en-US" w:eastAsia="zh-CN"/>
        </w:rPr>
        <w:t>新国九条及“1+N”资本市场体系目标</w:t>
      </w:r>
      <w:r>
        <w:rPr>
          <w:rFonts w:hint="default" w:ascii="仿宋_GB2312" w:hAnsi="仿宋_GB2312" w:eastAsia="仿宋_GB2312" w:cs="仿宋_GB2312"/>
          <w:sz w:val="32"/>
          <w:szCs w:val="32"/>
          <w:u w:val="none"/>
          <w:lang w:val="en-US" w:eastAsia="zh-CN"/>
        </w:rPr>
        <w:t>，提出未来5年，将“</w:t>
      </w:r>
      <w:r>
        <w:rPr>
          <w:rFonts w:hint="default" w:ascii="仿宋_GB2312" w:hAnsi="仿宋_GB2312" w:eastAsia="仿宋_GB2312" w:cs="仿宋_GB2312"/>
          <w:sz w:val="32"/>
          <w:szCs w:val="32"/>
          <w:u w:val="single"/>
          <w:lang w:val="en-US" w:eastAsia="zh-CN"/>
        </w:rPr>
        <w:t>基本形成资本市场高质量发展的总体框架</w:t>
      </w:r>
      <w:r>
        <w:rPr>
          <w:rFonts w:hint="default" w:ascii="仿宋_GB2312" w:hAnsi="仿宋_GB2312" w:eastAsia="仿宋_GB2312" w:cs="仿宋_GB2312"/>
          <w:sz w:val="32"/>
          <w:szCs w:val="32"/>
          <w:u w:val="none"/>
          <w:lang w:val="en-US" w:eastAsia="zh-CN"/>
        </w:rPr>
        <w:t>”，至2035年，“基本建成具有高度适应性、竞争力、</w:t>
      </w:r>
      <w:r>
        <w:rPr>
          <w:rFonts w:hint="default" w:ascii="仿宋_GB2312" w:hAnsi="仿宋_GB2312" w:eastAsia="仿宋_GB2312" w:cs="仿宋_GB2312"/>
          <w:sz w:val="32"/>
          <w:szCs w:val="32"/>
          <w:u w:val="single"/>
          <w:lang w:val="en-US" w:eastAsia="zh-CN"/>
        </w:rPr>
        <w:t>普惠性</w:t>
      </w:r>
      <w:r>
        <w:rPr>
          <w:rFonts w:hint="default" w:ascii="仿宋_GB2312" w:hAnsi="仿宋_GB2312" w:eastAsia="仿宋_GB2312" w:cs="仿宋_GB2312"/>
          <w:sz w:val="32"/>
          <w:szCs w:val="32"/>
          <w:u w:val="none"/>
          <w:lang w:val="en-US" w:eastAsia="zh-CN"/>
        </w:rPr>
        <w:t>的资本市场”</w:t>
      </w:r>
      <w:r>
        <w:rPr>
          <w:rFonts w:hint="eastAsia" w:ascii="仿宋_GB2312" w:hAnsi="仿宋_GB2312" w:eastAsia="仿宋_GB2312" w:cs="仿宋_GB2312"/>
          <w:sz w:val="32"/>
          <w:szCs w:val="32"/>
          <w:u w:val="none"/>
          <w:lang w:val="en-US" w:eastAsia="zh-CN"/>
        </w:rPr>
        <w:t>。</w:t>
      </w:r>
    </w:p>
    <w:p>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来源：中金点睛</w:t>
      </w:r>
    </w:p>
    <w:p>
      <w:pPr>
        <w:numPr>
          <w:ilvl w:val="0"/>
          <w:numId w:val="0"/>
        </w:numPr>
        <w:tabs>
          <w:tab w:val="left" w:pos="249"/>
        </w:tabs>
        <w:spacing w:line="540" w:lineRule="exact"/>
        <w:rPr>
          <w:rFonts w:hint="default" w:ascii="仿宋_GB2312" w:hAnsi="仿宋_GB2312" w:eastAsia="仿宋_GB2312" w:cs="仿宋_GB2312"/>
          <w:sz w:val="32"/>
          <w:szCs w:val="32"/>
          <w:u w:val="none"/>
          <w:lang w:val="en-US" w:eastAsia="zh-CN"/>
        </w:rPr>
      </w:pPr>
    </w:p>
    <w:p>
      <w:pPr>
        <w:numPr>
          <w:ilvl w:val="0"/>
          <w:numId w:val="1"/>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金融时报：在中国特色金融发展道路上构建融资担保新格局</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中央金融工作会议是我国处于全面建设社会主义现代化国家开局起步关键时期召开的一次重要会议，习近平总书记发表重要讲话，科学回答了金融事业发展的一系列重大理论和实践问题，为金融工作举旗定向、谋篇布局，是指引新时代新征程金融工作的纲领性文献，为做好金融各领域工作提供了根本遵循和行动指南。作为现代金融体系的有机组成部分，融资担保行业要深入学习领会、认真贯彻落实中央金融工作会议精神，防范化解金融风险，坚持稳中求进工作总基调，统筹发展和安全，通过推动融资担保行业高质量发展，为实体经济高质量发展贡献更大力量。</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中央金融工作会议指出，加强党中央对金融工作的集中统一领导，是做好金融工作的根本保证。</w:t>
      </w:r>
      <w:r>
        <w:rPr>
          <w:rFonts w:hint="default" w:ascii="仿宋_GB2312" w:hAnsi="仿宋_GB2312" w:eastAsia="仿宋_GB2312" w:cs="仿宋_GB2312"/>
          <w:sz w:val="32"/>
          <w:szCs w:val="32"/>
          <w:u w:val="single"/>
          <w:lang w:val="en-US" w:eastAsia="zh-CN"/>
        </w:rPr>
        <w:t>融资担保行业要自觉坚持金融工作的政治性、人民性，坚定立足金融服务实体经济本源，坚守支持小微企业、“三农”定位，主动、深度融入经济社会高质量发展大局</w:t>
      </w:r>
      <w:r>
        <w:rPr>
          <w:rFonts w:hint="default" w:ascii="仿宋_GB2312" w:hAnsi="仿宋_GB2312" w:eastAsia="仿宋_GB2312" w:cs="仿宋_GB2312"/>
          <w:sz w:val="32"/>
          <w:szCs w:val="32"/>
          <w:u w:val="none"/>
          <w:lang w:val="en-US" w:eastAsia="zh-CN"/>
        </w:rPr>
        <w:t>，始终用实际行动践行普惠金融的使命担当，为建设金融强国贡献担保力量。</w:t>
      </w:r>
    </w:p>
    <w:p>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来源：金融时报</w:t>
      </w:r>
    </w:p>
    <w:p>
      <w:pPr>
        <w:numPr>
          <w:ilvl w:val="0"/>
          <w:numId w:val="0"/>
        </w:numPr>
        <w:tabs>
          <w:tab w:val="left" w:pos="249"/>
        </w:tabs>
        <w:spacing w:line="540" w:lineRule="exact"/>
        <w:rPr>
          <w:rFonts w:hint="default" w:ascii="仿宋_GB2312" w:hAnsi="仿宋_GB2312" w:eastAsia="仿宋_GB2312" w:cs="仿宋_GB2312"/>
          <w:sz w:val="32"/>
          <w:szCs w:val="32"/>
          <w:u w:val="none"/>
          <w:lang w:val="en-US"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稳健的融资担保机构助力金融服务实体经济（</w:t>
      </w:r>
      <w:r>
        <w:rPr>
          <w:rFonts w:hint="eastAsia" w:ascii="仿宋_GB2312" w:hAnsi="仿宋_GB2312" w:eastAsia="仿宋_GB2312" w:cs="仿宋_GB2312"/>
          <w:b/>
          <w:bCs/>
          <w:sz w:val="32"/>
          <w:szCs w:val="32"/>
          <w:lang w:val="en-US" w:eastAsia="zh-CN"/>
        </w:rPr>
        <w:t>节选</w:t>
      </w:r>
      <w:r>
        <w:rPr>
          <w:rFonts w:hint="eastAsia" w:ascii="仿宋_GB2312" w:hAnsi="仿宋_GB2312" w:eastAsia="仿宋_GB2312" w:cs="仿宋_GB2312"/>
          <w:b/>
          <w:bCs/>
          <w:sz w:val="32"/>
          <w:szCs w:val="32"/>
          <w:lang w:eastAsia="zh-CN"/>
        </w:rPr>
        <w:t>）</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近年来，重庆融资担保行业构建了以大型商业性担保机构和政府性担保机构为主体的多层次融资担保体系，在服务中小微企业、“三农”、防范金融风险和促进经济社会发展等方面发挥了重要作用。但因体制机制等原因，有的融资担保机构正面临着风险累积、自身发展难以可持续，效率低下、功能作用发挥不够充分等问题。本文从政府、行业、机构三个层面或角度，对如何推进融资担保行业高质量发展、提升金融服务实体经济水平试作探讨。</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持续加强担保行业自律。一是</w:t>
      </w:r>
      <w:r>
        <w:rPr>
          <w:rFonts w:hint="eastAsia" w:ascii="仿宋_GB2312" w:hAnsi="仿宋_GB2312" w:eastAsia="仿宋_GB2312" w:cs="仿宋_GB2312"/>
          <w:sz w:val="32"/>
          <w:szCs w:val="32"/>
          <w:u w:val="single"/>
          <w:lang w:val="en-US" w:eastAsia="zh-CN"/>
        </w:rPr>
        <w:t>加强行业自律。通过担保协会</w:t>
      </w:r>
      <w:r>
        <w:rPr>
          <w:rFonts w:hint="eastAsia" w:ascii="仿宋_GB2312" w:hAnsi="仿宋_GB2312" w:eastAsia="仿宋_GB2312" w:cs="仿宋_GB2312"/>
          <w:sz w:val="32"/>
          <w:szCs w:val="32"/>
          <w:u w:val="none"/>
          <w:lang w:val="en-US" w:eastAsia="zh-CN"/>
        </w:rPr>
        <w:t>组织培训、研讨、论坛等形式，对成员单位加强自律。</w:t>
      </w:r>
      <w:r>
        <w:rPr>
          <w:rFonts w:hint="eastAsia" w:ascii="仿宋_GB2312" w:hAnsi="仿宋_GB2312" w:eastAsia="仿宋_GB2312" w:cs="仿宋_GB2312"/>
          <w:sz w:val="32"/>
          <w:szCs w:val="32"/>
          <w:u w:val="single"/>
          <w:lang w:val="en-US" w:eastAsia="zh-CN"/>
        </w:rPr>
        <w:t>制定行业准则和业务规范</w:t>
      </w:r>
      <w:r>
        <w:rPr>
          <w:rFonts w:hint="eastAsia" w:ascii="仿宋_GB2312" w:hAnsi="仿宋_GB2312" w:eastAsia="仿宋_GB2312" w:cs="仿宋_GB2312"/>
          <w:sz w:val="32"/>
          <w:szCs w:val="32"/>
          <w:u w:val="none"/>
          <w:lang w:val="en-US" w:eastAsia="zh-CN"/>
        </w:rPr>
        <w:t>，尽可能统一担保费标准、保证金比例、风险分担比例、担保合同范本，避免非正当竞争。</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sz w:val="32"/>
          <w:szCs w:val="32"/>
          <w:u w:val="none"/>
          <w:lang w:val="en-US" w:eastAsia="zh-CN"/>
        </w:rPr>
        <w:t>加强从业人员规范。参照会计、银行、证券等行业规范，以理论与实务、政策与业务为重点，开展从业人员资格认证。同时，定期开展专业培训，提高从业人员财务分析、风险评审、资产管理、金融工程、产业项目分析论证、投融资管理等方面的业务能力。</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sz w:val="32"/>
          <w:szCs w:val="32"/>
          <w:u w:val="none"/>
          <w:lang w:val="en-US" w:eastAsia="zh-CN"/>
        </w:rPr>
        <w:t>加强战略规划研究。要围绕“成渝地区双城经济圈”“西部陆海新通道”等国家战略，全面深入研究分析金融服务的矛盾问题、金融改革的重点难点，做好</w:t>
      </w:r>
      <w:r>
        <w:rPr>
          <w:rFonts w:hint="eastAsia" w:ascii="仿宋_GB2312" w:hAnsi="仿宋_GB2312" w:eastAsia="仿宋_GB2312" w:cs="仿宋_GB2312"/>
          <w:sz w:val="32"/>
          <w:szCs w:val="32"/>
          <w:u w:val="single"/>
          <w:lang w:val="en-US" w:eastAsia="zh-CN"/>
        </w:rPr>
        <w:t>融资担保行业整体发展战略规划</w:t>
      </w:r>
      <w:r>
        <w:rPr>
          <w:rFonts w:hint="eastAsia" w:ascii="仿宋_GB2312" w:hAnsi="仿宋_GB2312" w:eastAsia="仿宋_GB2312" w:cs="仿宋_GB2312"/>
          <w:sz w:val="32"/>
          <w:szCs w:val="32"/>
          <w:u w:val="none"/>
          <w:lang w:val="en-US" w:eastAsia="zh-CN"/>
        </w:rPr>
        <w:t>。同时根据地区行业产业特点，体现机构特色。</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着力提高风险管理能力水平。</w:t>
      </w:r>
      <w:r>
        <w:rPr>
          <w:rFonts w:hint="eastAsia" w:ascii="仿宋_GB2312" w:hAnsi="仿宋_GB2312" w:eastAsia="仿宋_GB2312" w:cs="仿宋_GB2312"/>
          <w:sz w:val="32"/>
          <w:szCs w:val="32"/>
          <w:u w:val="single"/>
          <w:lang w:val="en-US" w:eastAsia="zh-CN"/>
        </w:rPr>
        <w:t>担保机构区别于银行等传统金融机构，最大特点在于金融服务对象被传统银行等金融机构排斥</w:t>
      </w:r>
      <w:r>
        <w:rPr>
          <w:rFonts w:hint="eastAsia" w:ascii="仿宋_GB2312" w:hAnsi="仿宋_GB2312" w:eastAsia="仿宋_GB2312" w:cs="仿宋_GB2312"/>
          <w:sz w:val="32"/>
          <w:szCs w:val="32"/>
          <w:u w:val="none"/>
          <w:lang w:val="en-US" w:eastAsia="zh-CN"/>
        </w:rPr>
        <w:t>。这类服务对象，经营效益差、抗风险能力弱。对此，担保机构要有更高的风险识别能力、管控水平、化解手段，建立起一套独特的风险预警、风险评审、风险决策、风险管理、风险处置、风险转化体系，通过提升风险管理水平，不断推动信用创造和价值发现。应围绕“金融强国”建设目标，守住不发生系统性金融风险底线，统筹改革、发展、安全、风险，引导资源配置向新质生产力汇聚，引导担保机构在控制好风险的同时，更好服务实体经济。</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提升服务能力。一是</w:t>
      </w:r>
      <w:r>
        <w:rPr>
          <w:rFonts w:hint="eastAsia" w:ascii="仿宋_GB2312" w:hAnsi="仿宋_GB2312" w:eastAsia="仿宋_GB2312" w:cs="仿宋_GB2312"/>
          <w:sz w:val="32"/>
          <w:szCs w:val="32"/>
          <w:u w:val="none"/>
          <w:lang w:val="en-US" w:eastAsia="zh-CN"/>
        </w:rPr>
        <w:t>不断丰富担保产品。</w:t>
      </w:r>
      <w:r>
        <w:rPr>
          <w:rFonts w:hint="eastAsia" w:ascii="仿宋_GB2312" w:hAnsi="仿宋_GB2312" w:eastAsia="仿宋_GB2312" w:cs="仿宋_GB2312"/>
          <w:sz w:val="32"/>
          <w:szCs w:val="32"/>
          <w:u w:val="single"/>
          <w:lang w:val="en-US" w:eastAsia="zh-CN"/>
        </w:rPr>
        <w:t>针对政府性、非政府性两大类型机构进行分类指导。政府性担保机构围绕“三农”、小微等实体产业，应提供更多可复制推广的普惠金融产品；非政府性担保机构可依托资本市场，开发更多的政府债、公司债、产业债等直接融资担保产品，加大投贷联动等金融产品供给。还可以充分发挥工程履约保函、电子保函等非融资担保、间接融资担保等方面优势</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sz w:val="32"/>
          <w:szCs w:val="32"/>
          <w:u w:val="none"/>
          <w:lang w:val="en-US" w:eastAsia="zh-CN"/>
        </w:rPr>
        <w:t>大力推进服务创新。加快业务结构调整和定位转型，完善供应链金融产品创新体系，为“33618”现代制造业集群产业链上的中小微型企业提供优质金融服务，拓展供应链担保、产业链担保、产业集群担保等服务，推动担保功能由“加杠杆”向“促融通”转变。</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sz w:val="32"/>
          <w:szCs w:val="32"/>
          <w:u w:val="none"/>
          <w:lang w:val="en-US" w:eastAsia="zh-CN"/>
        </w:rPr>
        <w:t>推动业务模式升级。按照批量分散原则，针对产业园、供应链、专业合作社、互联网平台等，延伸金融服务链条，推动担保业务尤其是借款类融资担保业务批量化、标准化发展，实现业务模式从单户营销转向批量获客。</w:t>
      </w:r>
      <w:r>
        <w:rPr>
          <w:rFonts w:hint="eastAsia" w:ascii="仿宋_GB2312" w:hAnsi="仿宋_GB2312" w:eastAsia="仿宋_GB2312" w:cs="仿宋_GB2312"/>
          <w:b/>
          <w:bCs/>
          <w:sz w:val="32"/>
          <w:szCs w:val="32"/>
          <w:u w:val="none"/>
          <w:lang w:val="en-US" w:eastAsia="zh-CN"/>
        </w:rPr>
        <w:t>四是</w:t>
      </w:r>
      <w:r>
        <w:rPr>
          <w:rFonts w:hint="eastAsia" w:ascii="仿宋_GB2312" w:hAnsi="仿宋_GB2312" w:eastAsia="仿宋_GB2312" w:cs="仿宋_GB2312"/>
          <w:sz w:val="32"/>
          <w:szCs w:val="32"/>
          <w:u w:val="none"/>
          <w:lang w:val="en-US" w:eastAsia="zh-CN"/>
        </w:rPr>
        <w:t>为政府债务化解风险降低成本。巧用融资担保增信和杠杆功能，密切配合银行、证券公司、资产公司等金融机构，创造性地将原有非标隐性金融产品置换为标准金融产品，将原有高利息高成本金融产品置换为低利息低成本金融产品，将原有短期融资产品置换为中长期融资产品，将缺少抵押资产的产品置换为信用担保产品，切实做到“防断链、防暴雷”。</w:t>
      </w:r>
      <w:r>
        <w:rPr>
          <w:rFonts w:hint="eastAsia" w:ascii="仿宋_GB2312" w:hAnsi="仿宋_GB2312" w:eastAsia="仿宋_GB2312" w:cs="仿宋_GB2312"/>
          <w:b/>
          <w:bCs/>
          <w:sz w:val="32"/>
          <w:szCs w:val="32"/>
          <w:u w:val="none"/>
          <w:lang w:val="en-US" w:eastAsia="zh-CN"/>
        </w:rPr>
        <w:t>五是</w:t>
      </w:r>
      <w:r>
        <w:rPr>
          <w:rFonts w:hint="eastAsia" w:ascii="仿宋_GB2312" w:hAnsi="仿宋_GB2312" w:eastAsia="仿宋_GB2312" w:cs="仿宋_GB2312"/>
          <w:sz w:val="32"/>
          <w:szCs w:val="32"/>
          <w:u w:val="none"/>
          <w:lang w:val="en-US" w:eastAsia="zh-CN"/>
        </w:rPr>
        <w:t>为战略性新兴产业积极引导精心培育。应在现代化新重庆建设中，找准角色定位，正确处理好“社会效益、经济效益、经营风险、可持续发展”等诸方面关系，重构运营模式、重塑管理机制、再造业务流程，创新金融产品，不断提升金融服务能力水平。</w:t>
      </w:r>
    </w:p>
    <w:p>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来源：西部金融中心</w:t>
      </w:r>
    </w:p>
    <w:p>
      <w:pPr>
        <w:numPr>
          <w:ilvl w:val="0"/>
          <w:numId w:val="0"/>
        </w:numPr>
        <w:tabs>
          <w:tab w:val="left" w:pos="249"/>
        </w:tabs>
        <w:spacing w:line="540" w:lineRule="exact"/>
        <w:ind w:firstLine="640" w:firstLineChars="200"/>
        <w:rPr>
          <w:rFonts w:hint="default" w:ascii="仿宋_GB2312" w:hAnsi="仿宋_GB2312" w:eastAsia="仿宋_GB2312" w:cs="仿宋_GB2312"/>
          <w:sz w:val="32"/>
          <w:szCs w:val="32"/>
          <w:u w:val="single"/>
          <w:lang w:val="en-US"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湖北</w:t>
      </w:r>
      <w:r>
        <w:rPr>
          <w:rFonts w:hint="eastAsia" w:ascii="仿宋_GB2312" w:hAnsi="仿宋_GB2312" w:eastAsia="仿宋_GB2312" w:cs="仿宋_GB2312"/>
          <w:b/>
          <w:bCs/>
          <w:sz w:val="32"/>
          <w:szCs w:val="32"/>
          <w:lang w:eastAsia="zh-CN"/>
        </w:rPr>
        <w:t>省农担公司召开“新形势下担保业务可持续发展”专题讨论会</w:t>
      </w:r>
    </w:p>
    <w:p>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为积极应对复杂多变的外部环境，探索担保业务可持续发展路径，7月15日下午，省农担公司召开“新形势下担保业务可持续发展”专题讨论会。</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推动新形势下公司担保业务实现可持续发展</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b/>
          <w:bCs/>
          <w:sz w:val="32"/>
          <w:szCs w:val="32"/>
          <w:u w:val="none"/>
          <w:lang w:val="en-US" w:eastAsia="zh-CN"/>
        </w:rPr>
        <w:t>一是</w:t>
      </w:r>
      <w:r>
        <w:rPr>
          <w:rFonts w:hint="default" w:ascii="仿宋_GB2312" w:hAnsi="仿宋_GB2312" w:eastAsia="仿宋_GB2312" w:cs="仿宋_GB2312"/>
          <w:sz w:val="32"/>
          <w:szCs w:val="32"/>
          <w:u w:val="none"/>
          <w:lang w:val="en-US" w:eastAsia="zh-CN"/>
        </w:rPr>
        <w:t>提高政治站位。要加强顶层设计，积极争取省农业信贷担保指导委员会的政策支持，加强与省财政厅、农业农村厅等其他省直部门的沟通对接，</w:t>
      </w:r>
      <w:r>
        <w:rPr>
          <w:rFonts w:hint="default" w:ascii="仿宋_GB2312" w:hAnsi="仿宋_GB2312" w:eastAsia="仿宋_GB2312" w:cs="仿宋_GB2312"/>
          <w:sz w:val="32"/>
          <w:szCs w:val="32"/>
          <w:u w:val="single"/>
          <w:lang w:val="en-US" w:eastAsia="zh-CN"/>
        </w:rPr>
        <w:t>争取“四补”机制及贷款贴息政策进一步落实</w:t>
      </w:r>
      <w:r>
        <w:rPr>
          <w:rFonts w:hint="default" w:ascii="仿宋_GB2312" w:hAnsi="仿宋_GB2312" w:eastAsia="仿宋_GB2312" w:cs="仿宋_GB2312"/>
          <w:sz w:val="32"/>
          <w:szCs w:val="32"/>
          <w:u w:val="none"/>
          <w:lang w:val="en-US" w:eastAsia="zh-CN"/>
        </w:rPr>
        <w:t>。</w:t>
      </w:r>
      <w:r>
        <w:rPr>
          <w:rFonts w:hint="default" w:ascii="仿宋_GB2312" w:hAnsi="仿宋_GB2312" w:eastAsia="仿宋_GB2312" w:cs="仿宋_GB2312"/>
          <w:b/>
          <w:bCs/>
          <w:sz w:val="32"/>
          <w:szCs w:val="32"/>
          <w:u w:val="none"/>
          <w:lang w:val="en-US" w:eastAsia="zh-CN"/>
        </w:rPr>
        <w:t>二是</w:t>
      </w:r>
      <w:r>
        <w:rPr>
          <w:rFonts w:hint="default" w:ascii="仿宋_GB2312" w:hAnsi="仿宋_GB2312" w:eastAsia="仿宋_GB2312" w:cs="仿宋_GB2312"/>
          <w:sz w:val="32"/>
          <w:szCs w:val="32"/>
          <w:u w:val="none"/>
          <w:lang w:val="en-US" w:eastAsia="zh-CN"/>
        </w:rPr>
        <w:t>凝聚多方合力。深化与政府部门、金融机构合作，共同构建多方共赢的“政银担企”合作机制。通过地区试点发挥示范突破带动作用，共筑风险防控网，促进担保业务稳健发展。</w:t>
      </w:r>
      <w:r>
        <w:rPr>
          <w:rFonts w:hint="default" w:ascii="仿宋_GB2312" w:hAnsi="仿宋_GB2312" w:eastAsia="仿宋_GB2312" w:cs="仿宋_GB2312"/>
          <w:b/>
          <w:bCs/>
          <w:sz w:val="32"/>
          <w:szCs w:val="32"/>
          <w:u w:val="none"/>
          <w:lang w:val="en-US" w:eastAsia="zh-CN"/>
        </w:rPr>
        <w:t>三是</w:t>
      </w:r>
      <w:r>
        <w:rPr>
          <w:rFonts w:hint="default" w:ascii="仿宋_GB2312" w:hAnsi="仿宋_GB2312" w:eastAsia="仿宋_GB2312" w:cs="仿宋_GB2312"/>
          <w:sz w:val="32"/>
          <w:szCs w:val="32"/>
          <w:u w:val="none"/>
          <w:lang w:val="en-US" w:eastAsia="zh-CN"/>
        </w:rPr>
        <w:t>提升宣传工作质效。依托地方政府，多渠道、多角度扩大公司影响力，同时，</w:t>
      </w:r>
      <w:r>
        <w:rPr>
          <w:rFonts w:hint="default" w:ascii="仿宋_GB2312" w:hAnsi="仿宋_GB2312" w:eastAsia="仿宋_GB2312" w:cs="仿宋_GB2312"/>
          <w:sz w:val="32"/>
          <w:szCs w:val="32"/>
          <w:u w:val="single"/>
          <w:lang w:val="en-US" w:eastAsia="zh-CN"/>
        </w:rPr>
        <w:t>提升自主获客能力</w:t>
      </w:r>
      <w:r>
        <w:rPr>
          <w:rFonts w:hint="default" w:ascii="仿宋_GB2312" w:hAnsi="仿宋_GB2312" w:eastAsia="仿宋_GB2312" w:cs="仿宋_GB2312"/>
          <w:sz w:val="32"/>
          <w:szCs w:val="32"/>
          <w:u w:val="none"/>
          <w:lang w:val="en-US" w:eastAsia="zh-CN"/>
        </w:rPr>
        <w:t>，增强市场竞争力，吸引更多潜在客户。</w:t>
      </w:r>
      <w:r>
        <w:rPr>
          <w:rFonts w:hint="default" w:ascii="仿宋_GB2312" w:hAnsi="仿宋_GB2312" w:eastAsia="仿宋_GB2312" w:cs="仿宋_GB2312"/>
          <w:b/>
          <w:bCs/>
          <w:sz w:val="32"/>
          <w:szCs w:val="32"/>
          <w:u w:val="none"/>
          <w:lang w:val="en-US" w:eastAsia="zh-CN"/>
        </w:rPr>
        <w:t>四是</w:t>
      </w:r>
      <w:r>
        <w:rPr>
          <w:rFonts w:hint="default" w:ascii="仿宋_GB2312" w:hAnsi="仿宋_GB2312" w:eastAsia="仿宋_GB2312" w:cs="仿宋_GB2312"/>
          <w:sz w:val="32"/>
          <w:szCs w:val="32"/>
          <w:u w:val="none"/>
          <w:lang w:val="en-US" w:eastAsia="zh-CN"/>
        </w:rPr>
        <w:t>加强人才队伍建设。优化员工管理，充实一线员工力量，加强学习培训，提升员工的专业素养和服务能力，为担保业务的可持续发展提供坚实人才保障。</w:t>
      </w:r>
      <w:r>
        <w:rPr>
          <w:rFonts w:hint="default" w:ascii="仿宋_GB2312" w:hAnsi="仿宋_GB2312" w:eastAsia="仿宋_GB2312" w:cs="仿宋_GB2312"/>
          <w:b/>
          <w:bCs/>
          <w:sz w:val="32"/>
          <w:szCs w:val="32"/>
          <w:u w:val="none"/>
          <w:lang w:val="en-US" w:eastAsia="zh-CN"/>
        </w:rPr>
        <w:t>五是</w:t>
      </w:r>
      <w:r>
        <w:rPr>
          <w:rFonts w:hint="default" w:ascii="仿宋_GB2312" w:hAnsi="仿宋_GB2312" w:eastAsia="仿宋_GB2312" w:cs="仿宋_GB2312"/>
          <w:sz w:val="32"/>
          <w:szCs w:val="32"/>
          <w:u w:val="none"/>
          <w:lang w:val="en-US" w:eastAsia="zh-CN"/>
        </w:rPr>
        <w:t>坚持创新驱动。加大产品创新和服务创新力度，强化对农业供应链、特色产业链的深度研究，精准把握行业发展趋势与市场需求，设计针对性的担保产品。</w:t>
      </w:r>
      <w:r>
        <w:rPr>
          <w:rFonts w:hint="default" w:ascii="仿宋_GB2312" w:hAnsi="仿宋_GB2312" w:eastAsia="仿宋_GB2312" w:cs="仿宋_GB2312"/>
          <w:b/>
          <w:bCs/>
          <w:sz w:val="32"/>
          <w:szCs w:val="32"/>
          <w:u w:val="none"/>
          <w:lang w:val="en-US" w:eastAsia="zh-CN"/>
        </w:rPr>
        <w:t>六是</w:t>
      </w:r>
      <w:r>
        <w:rPr>
          <w:rFonts w:hint="default" w:ascii="仿宋_GB2312" w:hAnsi="仿宋_GB2312" w:eastAsia="仿宋_GB2312" w:cs="仿宋_GB2312"/>
          <w:sz w:val="32"/>
          <w:szCs w:val="32"/>
          <w:u w:val="none"/>
          <w:lang w:val="en-US" w:eastAsia="zh-CN"/>
        </w:rPr>
        <w:t>提升客户满意度，优化服务流程，提高服务效率。</w:t>
      </w:r>
    </w:p>
    <w:p>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针对推动农业担保业务可持续发展工作，提出了三点要求：</w:t>
      </w:r>
      <w:r>
        <w:rPr>
          <w:rFonts w:hint="default" w:ascii="仿宋_GB2312" w:hAnsi="仿宋_GB2312" w:eastAsia="仿宋_GB2312" w:cs="仿宋_GB2312"/>
          <w:b/>
          <w:bCs/>
          <w:sz w:val="32"/>
          <w:szCs w:val="32"/>
          <w:u w:val="none"/>
          <w:lang w:val="en-US" w:eastAsia="zh-CN"/>
        </w:rPr>
        <w:t>一是</w:t>
      </w:r>
      <w:r>
        <w:rPr>
          <w:rFonts w:hint="default" w:ascii="仿宋_GB2312" w:hAnsi="仿宋_GB2312" w:eastAsia="仿宋_GB2312" w:cs="仿宋_GB2312"/>
          <w:sz w:val="32"/>
          <w:szCs w:val="32"/>
          <w:u w:val="none"/>
          <w:lang w:val="en-US" w:eastAsia="zh-CN"/>
        </w:rPr>
        <w:t>提振信心。要充分肯定公司在农业担保领域所取得的成绩，要继续发扬农担人的战斗力和精气神，做好担保业务工作，扎实推动高质量发展。</w:t>
      </w:r>
      <w:r>
        <w:rPr>
          <w:rFonts w:hint="default" w:ascii="仿宋_GB2312" w:hAnsi="仿宋_GB2312" w:eastAsia="仿宋_GB2312" w:cs="仿宋_GB2312"/>
          <w:b/>
          <w:bCs/>
          <w:sz w:val="32"/>
          <w:szCs w:val="32"/>
          <w:u w:val="none"/>
          <w:lang w:val="en-US" w:eastAsia="zh-CN"/>
        </w:rPr>
        <w:t>二是</w:t>
      </w:r>
      <w:r>
        <w:rPr>
          <w:rFonts w:hint="default" w:ascii="仿宋_GB2312" w:hAnsi="仿宋_GB2312" w:eastAsia="仿宋_GB2312" w:cs="仿宋_GB2312"/>
          <w:sz w:val="32"/>
          <w:szCs w:val="32"/>
          <w:u w:val="none"/>
          <w:lang w:val="en-US" w:eastAsia="zh-CN"/>
        </w:rPr>
        <w:t>强化政策指引。紧跟国家乡村振兴战略和农业产业政策，推动业务和产品创新，为农业担保业务的持续健康发展提供有力保障。</w:t>
      </w:r>
      <w:r>
        <w:rPr>
          <w:rFonts w:hint="default" w:ascii="仿宋_GB2312" w:hAnsi="仿宋_GB2312" w:eastAsia="仿宋_GB2312" w:cs="仿宋_GB2312"/>
          <w:b/>
          <w:bCs/>
          <w:sz w:val="32"/>
          <w:szCs w:val="32"/>
          <w:u w:val="none"/>
          <w:lang w:val="en-US" w:eastAsia="zh-CN"/>
        </w:rPr>
        <w:t>三是</w:t>
      </w:r>
      <w:r>
        <w:rPr>
          <w:rFonts w:hint="default" w:ascii="仿宋_GB2312" w:hAnsi="仿宋_GB2312" w:eastAsia="仿宋_GB2312" w:cs="仿宋_GB2312"/>
          <w:sz w:val="32"/>
          <w:szCs w:val="32"/>
          <w:u w:val="none"/>
          <w:lang w:val="en-US" w:eastAsia="zh-CN"/>
        </w:rPr>
        <w:t>坚持问题导向。通过</w:t>
      </w:r>
      <w:r>
        <w:rPr>
          <w:rFonts w:hint="default" w:ascii="仿宋_GB2312" w:hAnsi="仿宋_GB2312" w:eastAsia="仿宋_GB2312" w:cs="仿宋_GB2312"/>
          <w:sz w:val="32"/>
          <w:szCs w:val="32"/>
          <w:u w:val="single"/>
          <w:lang w:val="en-US" w:eastAsia="zh-CN"/>
        </w:rPr>
        <w:t>研究分析政策走向、创新担保方式</w:t>
      </w:r>
      <w:r>
        <w:rPr>
          <w:rFonts w:hint="default" w:ascii="仿宋_GB2312" w:hAnsi="仿宋_GB2312" w:eastAsia="仿宋_GB2312" w:cs="仿宋_GB2312"/>
          <w:sz w:val="32"/>
          <w:szCs w:val="32"/>
          <w:u w:val="none"/>
          <w:lang w:val="en-US" w:eastAsia="zh-CN"/>
        </w:rPr>
        <w:t>、提高担保效率等措施，不断提升农担业务的吸引力和竞争力。</w:t>
      </w:r>
    </w:p>
    <w:p>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来源：湖北省农业信贷融资担保</w:t>
      </w:r>
    </w:p>
    <w:p>
      <w:pPr>
        <w:tabs>
          <w:tab w:val="left" w:pos="249"/>
        </w:tabs>
        <w:spacing w:line="540" w:lineRule="exact"/>
        <w:rPr>
          <w:rFonts w:hint="eastAsia" w:ascii="仿宋_GB2312" w:hAnsi="仿宋_GB2312" w:eastAsia="仿宋_GB2312" w:cs="仿宋_GB2312"/>
          <w:sz w:val="32"/>
          <w:szCs w:val="32"/>
          <w:lang w:val="en-US"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政府性融资担保机构的可持续发展之道</w:t>
      </w:r>
    </w:p>
    <w:p>
      <w:pPr>
        <w:tabs>
          <w:tab w:val="left" w:pos="249"/>
        </w:tabs>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政府性融资担保机构是由政府出资设立、不以营利为目的的担保公司。这类机构通常须实现国家、省、市（县）各级政府的政策性目标，但也一般具有自负盈亏的特性。对于</w:t>
      </w:r>
      <w:r>
        <w:rPr>
          <w:rFonts w:hint="eastAsia" w:ascii="仿宋_GB2312" w:hAnsi="仿宋_GB2312" w:eastAsia="仿宋_GB2312" w:cs="仿宋_GB2312"/>
          <w:sz w:val="32"/>
          <w:szCs w:val="32"/>
          <w:u w:val="single"/>
          <w:lang w:val="en-US" w:eastAsia="zh-CN"/>
        </w:rPr>
        <w:t>政府性融资担保机构而言，如何在坚守政策性职能定位的同时，兼顾自身的可持续发展能力</w:t>
      </w:r>
      <w:r>
        <w:rPr>
          <w:rFonts w:hint="eastAsia" w:ascii="仿宋_GB2312" w:hAnsi="仿宋_GB2312" w:eastAsia="仿宋_GB2312" w:cs="仿宋_GB2312"/>
          <w:sz w:val="32"/>
          <w:szCs w:val="32"/>
          <w:lang w:val="en-US" w:eastAsia="zh-CN"/>
        </w:rPr>
        <w:t>呢？</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近几年来政府性融资担保机构逐渐呈现出集团化发展趋势。它们或纳入同省、市（县）内较小的政府性、普惠性融资担保机构来形成规模优势，或尝试获取保理、小贷、融资租赁等其他地方金融牌照，形成集团化模式。集团化模式能够从以下三个方面解决政府性融资担保机构的可持续发展难题：</w:t>
      </w:r>
    </w:p>
    <w:p>
      <w:pPr>
        <w:numPr>
          <w:ilvl w:val="0"/>
          <w:numId w:val="2"/>
        </w:numPr>
        <w:tabs>
          <w:tab w:val="left" w:pos="249"/>
        </w:tabs>
        <w:spacing w:line="540" w:lineRule="exact"/>
        <w:ind w:firstLine="643" w:firstLineChars="20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集团化模式有利于增强政府性融资担保机构经营稳健性</w:t>
      </w:r>
    </w:p>
    <w:p>
      <w:pPr>
        <w:numPr>
          <w:ilvl w:val="0"/>
          <w:numId w:val="0"/>
        </w:numPr>
        <w:tabs>
          <w:tab w:val="left" w:pos="249"/>
        </w:tabs>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在集团化管控框架下，各子公司能够更有效地分工、协同；同时，集团化模式有助于提高自身的主体信用评级，提升资产规模，深化抗风险能力。</w:t>
      </w:r>
    </w:p>
    <w:p>
      <w:pPr>
        <w:numPr>
          <w:ilvl w:val="0"/>
          <w:numId w:val="2"/>
        </w:numPr>
        <w:tabs>
          <w:tab w:val="left" w:pos="249"/>
        </w:tabs>
        <w:spacing w:line="540" w:lineRule="exact"/>
        <w:ind w:left="0" w:leftChars="0" w:firstLine="643" w:firstLineChars="20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集团化模式下，政府性融资担保机构能够有效区分并完成政策性与市场化目标</w:t>
      </w:r>
    </w:p>
    <w:p>
      <w:pPr>
        <w:numPr>
          <w:ilvl w:val="0"/>
          <w:numId w:val="0"/>
        </w:num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集团化模式下，政府性融资担保机构可以分别成立具有政策性普惠目标以及市场活力特质的子公司，来满足两种不同机制下的业务、风控差异化要求。其中，政策性子公司专注于扶持中小微企业，以低费率融资服务为特点，严格执行普惠金融政策，强调社会效益；市场化子公司则可以采取更灵活的业务品种、运营策略和风控手段。</w:t>
      </w:r>
    </w:p>
    <w:p>
      <w:pPr>
        <w:numPr>
          <w:ilvl w:val="0"/>
          <w:numId w:val="0"/>
        </w:num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通过设定不同的子公司业务考核标准，集团化模式能够使政府性融资担保机构在积极履行社会职责的同时拥有收益来源。</w:t>
      </w:r>
    </w:p>
    <w:p>
      <w:pPr>
        <w:numPr>
          <w:ilvl w:val="0"/>
          <w:numId w:val="2"/>
        </w:numPr>
        <w:tabs>
          <w:tab w:val="left" w:pos="249"/>
        </w:tabs>
        <w:spacing w:line="54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构建融资生态圈有利于夯实政府性融资担保机构的竞争力</w:t>
      </w:r>
    </w:p>
    <w:p>
      <w:pPr>
        <w:numPr>
          <w:ilvl w:val="0"/>
          <w:numId w:val="0"/>
        </w:numPr>
        <w:tabs>
          <w:tab w:val="left" w:pos="249"/>
        </w:tabs>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化模式有利于丰富普惠金融服务品种、增加融资服务手段，进一步形成政府性融资担保机构的行业竞争力。通过小额贷款、投保联动、商业保理、融资租赁等牌照业务，打造多元化融资体系，实现业务种类和收入来源的多样化。</w:t>
      </w:r>
    </w:p>
    <w:p>
      <w:pPr>
        <w:numPr>
          <w:ilvl w:val="0"/>
          <w:numId w:val="0"/>
        </w:num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通过市场化业务的收益反哺于政策性业务的投入，有助于政府性融资担保机构实现盈亏平衡。进而形成一个既能够满足政府政策导向，又能够适应市场经济规律的融资担保体系。</w:t>
      </w:r>
    </w:p>
    <w:p>
      <w:pPr>
        <w:tabs>
          <w:tab w:val="left" w:pos="249"/>
        </w:tabs>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来源：普微融资创新研究院</w:t>
      </w:r>
    </w:p>
    <w:p>
      <w:p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bookmarkStart w:id="1" w:name="_GoBack"/>
      <w:bookmarkEnd w:id="1"/>
    </w:p>
    <w:tbl>
      <w:tblPr>
        <w:tblStyle w:val="3"/>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sectPr>
      <w:footerReference r:id="rId3" w:type="default"/>
      <w:pgSz w:w="11906" w:h="16838"/>
      <w:pgMar w:top="1701" w:right="1536" w:bottom="1701" w:left="153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87FAEE-D96B-4370-A58F-16BB9888D0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72EC27F1-2E57-45BF-AB39-08670B32FA4B}"/>
  </w:font>
  <w:font w:name="仿宋_GB2312">
    <w:panose1 w:val="02010609030101010101"/>
    <w:charset w:val="86"/>
    <w:family w:val="modern"/>
    <w:pitch w:val="default"/>
    <w:sig w:usb0="00000001" w:usb1="080E0000" w:usb2="00000000" w:usb3="00000000" w:csb0="00040000" w:csb1="00000000"/>
    <w:embedRegular r:id="rId3" w:fontKey="{3A65DC0C-F471-4AE9-B50C-E3FC175EDA3E}"/>
  </w:font>
  <w:font w:name="仿宋">
    <w:panose1 w:val="02010609060101010101"/>
    <w:charset w:val="86"/>
    <w:family w:val="modern"/>
    <w:pitch w:val="default"/>
    <w:sig w:usb0="800002BF" w:usb1="38CF7CFA" w:usb2="00000016" w:usb3="00000000" w:csb0="00040001" w:csb1="00000000"/>
    <w:embedRegular r:id="rId4" w:fontKey="{79D5040F-B6B9-4DCB-9376-F2A872ACD2AD}"/>
  </w:font>
  <w:font w:name="楷体_GB2312">
    <w:panose1 w:val="02010609030101010101"/>
    <w:charset w:val="86"/>
    <w:family w:val="modern"/>
    <w:pitch w:val="default"/>
    <w:sig w:usb0="00000001" w:usb1="080E0000" w:usb2="00000000" w:usb3="00000000" w:csb0="00040000" w:csb1="00000000"/>
    <w:embedRegular r:id="rId5" w:fontKey="{57E3A600-B258-46D4-BD87-27083706FE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726D851"/>
    <w:multiLevelType w:val="singleLevel"/>
    <w:tmpl w:val="7726D85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DdkMDgyZDVkZGFkMmIxYzRhMTA1YTdmNmE3NTAifQ=="/>
  </w:docVars>
  <w:rsids>
    <w:rsidRoot w:val="00000000"/>
    <w:rsid w:val="07115108"/>
    <w:rsid w:val="0B0C3C89"/>
    <w:rsid w:val="12EF5014"/>
    <w:rsid w:val="133C081D"/>
    <w:rsid w:val="21187848"/>
    <w:rsid w:val="25AA3460"/>
    <w:rsid w:val="3059118A"/>
    <w:rsid w:val="35255896"/>
    <w:rsid w:val="3DE17527"/>
    <w:rsid w:val="49AD765C"/>
    <w:rsid w:val="60AC36F8"/>
    <w:rsid w:val="60F87884"/>
    <w:rsid w:val="62267D16"/>
    <w:rsid w:val="664E077A"/>
    <w:rsid w:val="68837BDD"/>
    <w:rsid w:val="72294188"/>
    <w:rsid w:val="75FC2A02"/>
    <w:rsid w:val="7E1C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9269</Words>
  <Characters>9322</Characters>
  <Lines>0</Lines>
  <Paragraphs>0</Paragraphs>
  <TotalTime>9</TotalTime>
  <ScaleCrop>false</ScaleCrop>
  <LinksUpToDate>false</LinksUpToDate>
  <CharactersWithSpaces>9351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2024-07-01T07:04:00Z</dcterms:created>
  <dc:creator>lenovo</dc:creator>
  <cp:lastModifiedBy>木 又</cp:lastModifiedBy>
  <cp:lastPrinted>2024-07-17T06:00:00Z</cp:lastPrinted>
  <dcterms:modified xsi:type="dcterms:W3CDTF">2024-07-19T06:42:54Z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FA3B67A89FCD470A83BEBC39442D67E3_13</vt:lpwstr>
  </property>
</Properties>
</file>